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EF" w:rsidRDefault="00BC6AE8" w:rsidP="003352EF">
      <w:pPr>
        <w:jc w:val="center"/>
      </w:pPr>
      <w:r w:rsidRPr="003352EF">
        <w:rPr>
          <w:b/>
        </w:rPr>
        <w:t>Оснащенность кабинета ОБЖ</w:t>
      </w:r>
    </w:p>
    <w:p w:rsidR="00663A74" w:rsidRDefault="00BC6AE8" w:rsidP="003352EF">
      <w:pPr>
        <w:jc w:val="center"/>
      </w:pPr>
      <w:r>
        <w:t>МБОУ «Апастовская средняя общеобразовательная школа с углубленным изучением отдельных предметов» Апастовского муниципального района РТ.</w:t>
      </w:r>
    </w:p>
    <w:tbl>
      <w:tblPr>
        <w:tblpPr w:leftFromText="180" w:rightFromText="180" w:horzAnchor="margin" w:tblpY="1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56"/>
        <w:gridCol w:w="907"/>
        <w:gridCol w:w="40"/>
        <w:gridCol w:w="923"/>
        <w:gridCol w:w="18"/>
        <w:gridCol w:w="6"/>
        <w:gridCol w:w="906"/>
        <w:gridCol w:w="42"/>
        <w:gridCol w:w="2880"/>
      </w:tblGrid>
      <w:tr w:rsidR="00BC6AE8" w:rsidTr="00C03582">
        <w:trPr>
          <w:cantSplit/>
        </w:trPr>
        <w:tc>
          <w:tcPr>
            <w:tcW w:w="648" w:type="dxa"/>
            <w:vMerge w:val="restart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№</w:t>
            </w:r>
          </w:p>
        </w:tc>
        <w:tc>
          <w:tcPr>
            <w:tcW w:w="2700" w:type="dxa"/>
            <w:vMerge w:val="restart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2898" w:type="dxa"/>
            <w:gridSpan w:val="8"/>
          </w:tcPr>
          <w:p w:rsidR="00BC6AE8" w:rsidRPr="007A5D79" w:rsidRDefault="00BC6AE8" w:rsidP="00C03582">
            <w:pPr>
              <w:jc w:val="center"/>
              <w:rPr>
                <w:lang w:val="tt-RU"/>
              </w:rPr>
            </w:pPr>
            <w:r>
              <w:rPr>
                <w:sz w:val="22"/>
                <w:lang w:val="tt-RU"/>
              </w:rPr>
              <w:t>Средняя школа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Примечания</w:t>
            </w:r>
          </w:p>
        </w:tc>
      </w:tr>
      <w:tr w:rsidR="00BC6AE8" w:rsidTr="00C03582">
        <w:trPr>
          <w:gridAfter w:val="2"/>
          <w:wAfter w:w="2922" w:type="dxa"/>
          <w:cantSplit/>
          <w:trHeight w:val="276"/>
        </w:trPr>
        <w:tc>
          <w:tcPr>
            <w:tcW w:w="648" w:type="dxa"/>
            <w:vMerge/>
          </w:tcPr>
          <w:p w:rsidR="00BC6AE8" w:rsidRDefault="00BC6AE8" w:rsidP="00C03582">
            <w:pPr>
              <w:jc w:val="center"/>
            </w:pPr>
          </w:p>
        </w:tc>
        <w:tc>
          <w:tcPr>
            <w:tcW w:w="2700" w:type="dxa"/>
            <w:vMerge/>
          </w:tcPr>
          <w:p w:rsidR="00BC6AE8" w:rsidRDefault="00BC6AE8" w:rsidP="00C03582">
            <w:pPr>
              <w:jc w:val="center"/>
            </w:pPr>
          </w:p>
        </w:tc>
        <w:tc>
          <w:tcPr>
            <w:tcW w:w="963" w:type="dxa"/>
            <w:gridSpan w:val="2"/>
            <w:vMerge w:val="restart"/>
          </w:tcPr>
          <w:p w:rsidR="00BC6AE8" w:rsidRPr="007A5D79" w:rsidRDefault="00BC6AE8" w:rsidP="00C03582">
            <w:pPr>
              <w:jc w:val="center"/>
              <w:rPr>
                <w:lang w:val="tt-RU"/>
              </w:rPr>
            </w:pPr>
            <w:r>
              <w:rPr>
                <w:sz w:val="22"/>
              </w:rPr>
              <w:t>Необходимое количество</w:t>
            </w:r>
          </w:p>
        </w:tc>
        <w:tc>
          <w:tcPr>
            <w:tcW w:w="1893" w:type="dxa"/>
            <w:gridSpan w:val="5"/>
            <w:vMerge w:val="restart"/>
          </w:tcPr>
          <w:p w:rsidR="00BC6AE8" w:rsidRPr="007A5D79" w:rsidRDefault="00BC6AE8" w:rsidP="00C03582">
            <w:pPr>
              <w:jc w:val="center"/>
              <w:rPr>
                <w:lang w:val="tt-RU"/>
              </w:rPr>
            </w:pPr>
            <w:r>
              <w:rPr>
                <w:sz w:val="22"/>
                <w:lang w:val="tt-RU"/>
              </w:rPr>
              <w:t>В наличии</w:t>
            </w:r>
          </w:p>
        </w:tc>
      </w:tr>
      <w:tr w:rsidR="00BC6AE8" w:rsidTr="00C03582">
        <w:trPr>
          <w:gridAfter w:val="2"/>
          <w:wAfter w:w="2922" w:type="dxa"/>
          <w:cantSplit/>
          <w:trHeight w:val="276"/>
        </w:trPr>
        <w:tc>
          <w:tcPr>
            <w:tcW w:w="648" w:type="dxa"/>
            <w:vMerge/>
          </w:tcPr>
          <w:p w:rsidR="00BC6AE8" w:rsidRDefault="00BC6AE8" w:rsidP="00C03582">
            <w:pPr>
              <w:jc w:val="center"/>
            </w:pPr>
          </w:p>
        </w:tc>
        <w:tc>
          <w:tcPr>
            <w:tcW w:w="2700" w:type="dxa"/>
            <w:vMerge/>
          </w:tcPr>
          <w:p w:rsidR="00BC6AE8" w:rsidRDefault="00BC6AE8" w:rsidP="00C03582">
            <w:pPr>
              <w:jc w:val="center"/>
            </w:pPr>
          </w:p>
        </w:tc>
        <w:tc>
          <w:tcPr>
            <w:tcW w:w="963" w:type="dxa"/>
            <w:gridSpan w:val="2"/>
            <w:vMerge/>
          </w:tcPr>
          <w:p w:rsidR="00BC6AE8" w:rsidRDefault="00BC6AE8" w:rsidP="00C03582">
            <w:pPr>
              <w:jc w:val="center"/>
            </w:pPr>
          </w:p>
        </w:tc>
        <w:tc>
          <w:tcPr>
            <w:tcW w:w="1893" w:type="dxa"/>
            <w:gridSpan w:val="5"/>
            <w:vMerge/>
          </w:tcPr>
          <w:p w:rsidR="00BC6AE8" w:rsidRDefault="00BC6AE8" w:rsidP="00C03582">
            <w:pPr>
              <w:jc w:val="center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2700" w:type="dxa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center"/>
            </w:pPr>
            <w:r>
              <w:rPr>
                <w:sz w:val="22"/>
              </w:rPr>
              <w:t>6</w:t>
            </w:r>
          </w:p>
        </w:tc>
      </w:tr>
      <w:tr w:rsidR="00BC6AE8" w:rsidTr="00C03582">
        <w:tc>
          <w:tcPr>
            <w:tcW w:w="9126" w:type="dxa"/>
            <w:gridSpan w:val="11"/>
            <w:shd w:val="clear" w:color="auto" w:fill="FFFFFF"/>
          </w:tcPr>
          <w:p w:rsidR="00BC6AE8" w:rsidRDefault="00BC6AE8" w:rsidP="00C03582">
            <w:pPr>
              <w:jc w:val="both"/>
              <w:rPr>
                <w:b/>
                <w:caps/>
              </w:rPr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</w:t>
            </w: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jc w:val="both"/>
              <w:rPr>
                <w:b/>
                <w:caps/>
              </w:rPr>
            </w:pPr>
            <w:r>
              <w:rPr>
                <w:b/>
                <w:caps/>
                <w:sz w:val="22"/>
              </w:rPr>
              <w:t>Библиотечный фонд (книгопечатная продукция)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Стандарт основного общего образования по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r>
              <w:rPr>
                <w:sz w:val="22"/>
              </w:rPr>
              <w:t xml:space="preserve">Стандарт по ОБЖ, примерные программы, авторские рабочие программы входят в состав обязательного программно-методического обеспечения кабинета ОБЖ  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1.2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Стандарт среднего (полного) общего образования по ОБЖ (базовый уровень)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1.3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Стандарт среднего (полного)  общего образования по ОБЖ (профильный уровень)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1.4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Примерная программа основного общего образования по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1.5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Примерная программа среднего (полного) общего образования на базовом уровне по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1.6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Примерная программа среднего (полного) общего образования на профильном уровне по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1.7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Авторские рабочие программы по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1.8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Учебник по ОБЖ для 8 класса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r>
              <w:rPr>
                <w:sz w:val="22"/>
              </w:rPr>
              <w:t>В библиотечный фонд входят комплекты учебников, рекомендованных или допущенных Министерством образования и науки Российской Федерации.</w:t>
            </w:r>
          </w:p>
          <w:p w:rsidR="00BC6AE8" w:rsidRDefault="00BC6AE8" w:rsidP="00C03582"/>
          <w:p w:rsidR="00BC6AE8" w:rsidRDefault="00BC6AE8" w:rsidP="00C03582">
            <w:r>
              <w:rPr>
                <w:sz w:val="22"/>
              </w:rPr>
              <w:t xml:space="preserve">При комплектации библиотечного фонда полными комплектами учебников целесообразно включить в состав книгопечатной продукции, имеющейся в кабинете ОБЖ, и по несколько экземпляров учебников из других УМК по каждому курсу ОБЖ. Эти учебники </w:t>
            </w:r>
            <w:r>
              <w:rPr>
                <w:sz w:val="22"/>
              </w:rPr>
              <w:lastRenderedPageBreak/>
              <w:t xml:space="preserve">могут быть использованы учащимися для выполнения практических работ учителем как часть методического обеспечения кабинета. 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1.9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Учебник по ОБЖ для 10 класса (базовый уровень)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1.10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Учебник по ОБЖ     для 10 класса (профильный уровень)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1.11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Учебник по ОБЖ для 11 класса (профильный уровень)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1.12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Учебник «Основы медицинских знаний и здорового образа жизни» для обучающихся–девушек 10-11 классов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1.13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Учебник «Основы педагогики и психологии» для 10-11 классов (профильный уровень)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1.14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Общевоинские уставы Вооруженных Сил Российской Федерации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1.15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 xml:space="preserve">Наставление по стрелковому делу: </w:t>
            </w:r>
          </w:p>
          <w:p w:rsidR="00BC6AE8" w:rsidRDefault="00BC6AE8" w:rsidP="00C03582">
            <w:r>
              <w:rPr>
                <w:sz w:val="22"/>
              </w:rPr>
              <w:t xml:space="preserve">Основы стрельбы из стрелкового оружия 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1.16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Наставление по стрелковому делу: 7,6 2-мм модернизированный автомат Калашникова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1.17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Закон Российской Федерации «О воинской обязанности и военной службе»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1.18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Закон Российской Федерации «О гражданской обороне»</w:t>
            </w:r>
          </w:p>
          <w:p w:rsidR="00BC6AE8" w:rsidRDefault="00BC6AE8" w:rsidP="00C03582"/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1.19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Закон Российской Федерации «О защите населения и территорий и  от чрезвычайных ситуаций природного и техногенного характера»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1.20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Закон Российской Федерации «О пожарной безопасности»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1.21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Дидактические материалы по основным разделам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70%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 xml:space="preserve">Сборники разноуровневых познавательных и развивающих заданий, обеспечивающих усвоение  знаний по ОБЖ как на репродуктивном, так и на продуктивном уровнях.   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1.22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Контрольно-измерительные материалы по основным разделам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40%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>Сборники заданий (в том числе тестовых), обеспечивающих диагностику и контроль качества обучения в соответствии с требованиями к уровню подготовки выпускников, закрепленными в стандарте.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1.23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Хрестоматия по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1.24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Практикумы по ОБЖ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092"/>
        </w:trPr>
        <w:tc>
          <w:tcPr>
            <w:tcW w:w="648" w:type="dxa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1.25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Научная, научно-популярная  литература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:rsidR="003352EF" w:rsidRPr="003352EF" w:rsidRDefault="00BC6AE8" w:rsidP="00C03582">
            <w:pPr>
              <w:rPr>
                <w:sz w:val="22"/>
                <w:highlight w:val="lightGray"/>
              </w:rPr>
            </w:pPr>
            <w:r>
              <w:rPr>
                <w:sz w:val="22"/>
                <w:highlight w:val="lightGray"/>
              </w:rPr>
              <w:t>100%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  <w:highlight w:val="lightGray"/>
              </w:rPr>
            </w:pPr>
            <w:r>
              <w:rPr>
                <w:b/>
                <w:sz w:val="22"/>
                <w:highlight w:val="lightGray"/>
              </w:rPr>
              <w:t>60%</w:t>
            </w:r>
          </w:p>
        </w:tc>
        <w:tc>
          <w:tcPr>
            <w:tcW w:w="2880" w:type="dxa"/>
            <w:vMerge w:val="restart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 xml:space="preserve">Литература для подготовки  докладов и сообщений; научные, научно-популярные и художественные издания, необходимые для подготовки докладов, сообщений, рефератов и </w:t>
            </w:r>
            <w:r>
              <w:rPr>
                <w:sz w:val="22"/>
              </w:rPr>
              <w:lastRenderedPageBreak/>
              <w:t>творческих работ. Содержаться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1.26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Справочные пособия (энциклопедии и энциклопедические словари)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60%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1.27</w:t>
            </w:r>
          </w:p>
        </w:tc>
        <w:tc>
          <w:tcPr>
            <w:tcW w:w="2700" w:type="dxa"/>
          </w:tcPr>
          <w:p w:rsidR="00BC6AE8" w:rsidRDefault="00BC6AE8" w:rsidP="00C03582">
            <w:r>
              <w:rPr>
                <w:sz w:val="22"/>
              </w:rPr>
              <w:t>Методические пособия для учителя (рекомендации к проведению уроков)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63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72" w:type="dxa"/>
            <w:gridSpan w:val="4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80%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</w:t>
            </w: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rPr>
                <w:b/>
                <w:caps/>
              </w:rPr>
            </w:pPr>
            <w:r>
              <w:rPr>
                <w:b/>
                <w:caps/>
                <w:sz w:val="22"/>
              </w:rPr>
              <w:t xml:space="preserve">                                                Печатные пособия</w:t>
            </w:r>
          </w:p>
        </w:tc>
      </w:tr>
      <w:tr w:rsidR="00BC6AE8" w:rsidTr="00C03582">
        <w:trPr>
          <w:cantSplit/>
          <w:trHeight w:val="106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Организационная структура Вооруженных Сил Российской Федерации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 w:val="restart"/>
          </w:tcPr>
          <w:p w:rsidR="00BC6AE8" w:rsidRDefault="00BC6AE8" w:rsidP="00C03582"/>
        </w:tc>
      </w:tr>
      <w:tr w:rsidR="00BC6AE8" w:rsidTr="00C03582">
        <w:trPr>
          <w:cantSplit/>
          <w:trHeight w:val="15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Ордена России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15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2.3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Текст Военной присяги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429"/>
        </w:trPr>
        <w:tc>
          <w:tcPr>
            <w:tcW w:w="648" w:type="dxa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2.5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r>
              <w:rPr>
                <w:sz w:val="22"/>
              </w:rPr>
              <w:t xml:space="preserve">Воинские звания и знаки </w:t>
            </w:r>
          </w:p>
          <w:p w:rsidR="00BC6AE8" w:rsidRDefault="00BC6AE8" w:rsidP="00C03582">
            <w:r>
              <w:rPr>
                <w:sz w:val="22"/>
              </w:rPr>
              <w:t>Различия</w:t>
            </w: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BC6AE8" w:rsidRDefault="00BC6AE8" w:rsidP="00C03582"/>
        </w:tc>
      </w:tr>
      <w:tr w:rsidR="00BC6AE8" w:rsidTr="00C03582">
        <w:trPr>
          <w:cantSplit/>
          <w:trHeight w:val="428"/>
        </w:trPr>
        <w:tc>
          <w:tcPr>
            <w:tcW w:w="648" w:type="dxa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2.6</w:t>
            </w: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r>
              <w:rPr>
                <w:sz w:val="22"/>
              </w:rPr>
              <w:t xml:space="preserve"> Военная форма одежды</w:t>
            </w: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BC6AE8" w:rsidRDefault="00BC6AE8" w:rsidP="00C03582"/>
        </w:tc>
      </w:tr>
      <w:tr w:rsidR="00BC6AE8" w:rsidTr="00C03582">
        <w:trPr>
          <w:cantSplit/>
          <w:trHeight w:val="70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2.7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Мероприятия обязательной подготовки</w:t>
            </w:r>
          </w:p>
          <w:p w:rsidR="00BC6AE8" w:rsidRDefault="00BC6AE8" w:rsidP="00C03582">
            <w:r>
              <w:rPr>
                <w:sz w:val="22"/>
              </w:rPr>
              <w:t>граждан к военной службе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2..8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 Военно-прикладные виды спорта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2.9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Военно-учетные специальности РОСТО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106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2.10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Военно-учебные заведения Вооруженных Сил Российской Федерации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142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2.11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Мероприятия, проводимые при первоначальной постановке на воинский учет </w:t>
            </w:r>
          </w:p>
          <w:p w:rsidR="00BC6AE8" w:rsidRDefault="00BC6AE8" w:rsidP="00C03582"/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2.12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Нормативы по прикладной физической подготовке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106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2.13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Нормативы по радиационной, химической и биологической разведке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70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2.14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Устройство 7,62-мм  (или 5,45-мм) автомата Калашникова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2.15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Устройство 5,6-мм малокалиберной винтовки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70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2.16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Основы и правила стрельбы из стрелкового оружия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2.17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Приемы и правила метания ручных гранат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240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2.18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Мины российской армии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1519"/>
        </w:trPr>
        <w:tc>
          <w:tcPr>
            <w:tcW w:w="648" w:type="dxa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2.19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r>
              <w:rPr>
                <w:sz w:val="22"/>
              </w:rPr>
              <w:t xml:space="preserve">Фортификационные </w:t>
            </w:r>
          </w:p>
          <w:p w:rsidR="00BC6AE8" w:rsidRDefault="00BC6AE8" w:rsidP="00C03582">
            <w:r>
              <w:rPr>
                <w:sz w:val="22"/>
              </w:rPr>
              <w:t>сооружения (окопы, траншеи, щели, ниши, блиндажи, укрытия, минно-взрывные заграждения)</w:t>
            </w: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BC6AE8" w:rsidRDefault="00BC6AE8" w:rsidP="00C03582"/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2.20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Индивидуальные средства защиты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Приборы радиационной </w:t>
            </w:r>
          </w:p>
          <w:p w:rsidR="00BC6AE8" w:rsidRDefault="00BC6AE8" w:rsidP="00C03582">
            <w:r>
              <w:rPr>
                <w:sz w:val="22"/>
              </w:rPr>
              <w:t>разведки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1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54" w:type="dxa"/>
            <w:gridSpan w:val="3"/>
          </w:tcPr>
          <w:p w:rsidR="00BC6AE8" w:rsidRDefault="00BC6AE8" w:rsidP="00C03582">
            <w: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  <w:trHeight w:val="531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2.22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Приборы химической разведки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532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 xml:space="preserve">2.23 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Организация и несение внутренней службы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2.24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Строевая подготовка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446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2.25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Оказание первой медицинской помощи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92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2.26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Гражданская оборона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2.27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Диаграммы и графики,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3.</w:t>
            </w: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rPr>
                <w:b/>
                <w:caps/>
              </w:rPr>
            </w:pPr>
            <w:r>
              <w:rPr>
                <w:b/>
                <w:caps/>
                <w:sz w:val="22"/>
              </w:rPr>
              <w:t>информационно-коммуникативные средства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3.1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Мультимедийные обучающие программы и электронные учебники по основным разделам ОБЖ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20%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 xml:space="preserve">Мультимедийные обучающие программы и электронные учебники могут быть ориентированы на систему дистанционного обучения, либо носить проблемно-тематический характер и обеспечивать дополнительные условия для изучения отдельных предметных тем и разделов стандарта. В обоих случаях эти пособия должны предоставлять техническую возможность построения системы текущего и итогового контроля уровня подготовки учащихся (в т.ч. в форме тестового контроля). 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3.2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Электронные библиотеки по ОБЖ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 xml:space="preserve">Электронные библиотеки включают комплекс информационно-справочных материалов, объединенных единой системой навигации и ориентированных на различные формы познавательной деятельности, в т.ч. исследовательскую проектную работу. В состав электронных библиотек могут входить  тематические базы данных, </w:t>
            </w:r>
            <w:r>
              <w:rPr>
                <w:sz w:val="22"/>
              </w:rPr>
              <w:lastRenderedPageBreak/>
              <w:t xml:space="preserve">фрагменты исторических источников и текстов из научных и научно-популярных изданий, </w:t>
            </w:r>
          </w:p>
          <w:p w:rsidR="00BC6AE8" w:rsidRDefault="00BC6AE8" w:rsidP="00C03582">
            <w:r>
              <w:rPr>
                <w:sz w:val="22"/>
              </w:rPr>
              <w:t xml:space="preserve">Фотографии,  анимация, таблицы, схемы, диаграммы и графики, иллюстративные материалы, аудио- и видеоматериалы. Электронные библиотеки могут размещаться на </w:t>
            </w:r>
            <w:r>
              <w:rPr>
                <w:sz w:val="22"/>
                <w:lang w:val="en-US"/>
              </w:rPr>
              <w:t>CD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ROM</w:t>
            </w:r>
            <w:r>
              <w:rPr>
                <w:sz w:val="22"/>
              </w:rPr>
              <w:t>, либо создаваться в сетевом варианте (в т.ч. на базе образовательного учреждения).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3.2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работы.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 xml:space="preserve">Программный продукт, размещенный на </w:t>
            </w:r>
            <w:r>
              <w:rPr>
                <w:sz w:val="22"/>
                <w:lang w:val="en-US"/>
              </w:rPr>
              <w:t>CDRW</w:t>
            </w:r>
            <w:r>
              <w:rPr>
                <w:sz w:val="22"/>
              </w:rPr>
              <w:t xml:space="preserve"> и включающий обновляемый комплекс заданий по истории, а также системы комплектования тематических и итоговых работ с учетом вариативности УМК, уровня усвоения знаний и особенностей индивидуальной образовательной траектории учащихся.  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3.3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Игровые компьютерные программы (по тематике курса ОБЖ)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>Рекомендуются для внеклассной работы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 xml:space="preserve">4. </w:t>
            </w: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rPr>
                <w:b/>
                <w:caps/>
              </w:rPr>
            </w:pPr>
            <w:r>
              <w:rPr>
                <w:b/>
                <w:caps/>
                <w:sz w:val="22"/>
              </w:rPr>
              <w:t>Экранно-звуковые пособия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4.1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Видеофильмы по разделам курса ОБЖ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50%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r>
              <w:rPr>
                <w:sz w:val="22"/>
              </w:rPr>
              <w:t>Видеофильмы, аудиозаписи и фонохрестоматии, слайды могут быть в цифровом (компьютерном) виде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4.2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Аудиозаписи и фонохрестоматии по всеобщей истории и истории России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80%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4.3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 xml:space="preserve">Слайды (диапозитивы) по тематике курса ОБЖ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100%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80%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 xml:space="preserve">5. </w:t>
            </w: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rPr>
                <w:b/>
                <w:caps/>
              </w:rPr>
            </w:pPr>
            <w:r>
              <w:rPr>
                <w:b/>
                <w:caps/>
                <w:sz w:val="22"/>
              </w:rPr>
              <w:t>Технические средства обучения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Телевизор с универсальной подставкой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color w:val="000000"/>
                <w:sz w:val="22"/>
              </w:rPr>
              <w:t>Телевизор не менее 72 см диагональ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Видеомагнитофон (видеоплейер)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5.3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 xml:space="preserve">Аудио-центр.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color w:val="000000"/>
                <w:sz w:val="22"/>
              </w:rPr>
              <w:t xml:space="preserve">Аудио-центр с возможностью использования аудио-дисков, </w:t>
            </w:r>
            <w:r>
              <w:rPr>
                <w:color w:val="000000"/>
                <w:sz w:val="22"/>
                <w:lang w:val="en-US"/>
              </w:rPr>
              <w:t>CD</w:t>
            </w:r>
            <w:r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  <w:lang w:val="en-US"/>
              </w:rPr>
              <w:t>R</w:t>
            </w:r>
            <w:r>
              <w:rPr>
                <w:color w:val="000000"/>
                <w:sz w:val="22"/>
              </w:rPr>
              <w:t xml:space="preserve">, </w:t>
            </w:r>
            <w:r>
              <w:rPr>
                <w:color w:val="000000"/>
                <w:sz w:val="22"/>
                <w:lang w:val="en-US"/>
              </w:rPr>
              <w:t>CD</w:t>
            </w:r>
            <w:r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  <w:lang w:val="en-US"/>
              </w:rPr>
              <w:t>RW</w:t>
            </w:r>
            <w:r>
              <w:rPr>
                <w:color w:val="000000"/>
                <w:sz w:val="22"/>
              </w:rPr>
              <w:t xml:space="preserve">, </w:t>
            </w:r>
            <w:r>
              <w:rPr>
                <w:color w:val="000000"/>
                <w:sz w:val="22"/>
                <w:lang w:val="en-US"/>
              </w:rPr>
              <w:t>MP</w:t>
            </w:r>
            <w:r>
              <w:rPr>
                <w:color w:val="000000"/>
                <w:sz w:val="22"/>
              </w:rPr>
              <w:t>3, а также магнитных записей.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5.4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 xml:space="preserve">Мультимедийный компьютер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 xml:space="preserve">Тех. требования: графическая операционная система, привод для чтения-записи компакт дисков, аудио-видео </w:t>
            </w:r>
            <w:r>
              <w:rPr>
                <w:sz w:val="22"/>
              </w:rPr>
              <w:lastRenderedPageBreak/>
              <w:t>входы/выходы, возможность выхода в Интернет. Оснащен акустическими колонками, микрофоном и наушниками. С пакетом прикладных программ (текстовых, табличных, графических и презентационных).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5.5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Сканер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5.6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Принтер лазерный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5.7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Копировальный аппарат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>Копировальный аппарат, диапроектор и мультимедиапроектор</w:t>
            </w:r>
          </w:p>
          <w:p w:rsidR="00BC6AE8" w:rsidRDefault="00BC6AE8" w:rsidP="00C03582">
            <w:r>
              <w:rPr>
                <w:sz w:val="22"/>
              </w:rPr>
              <w:t>могут входить в материально-техническое обеспечение образовательного учреждения.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5.8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Цифровая видеокамера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r>
              <w:rPr>
                <w:sz w:val="22"/>
              </w:rPr>
              <w:t>Видеокамера и фотокамера могут входить в материально-техническое обеспечение образовательного учреждения.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5.9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Цифровая фотокамера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5.10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Диапроектор или оверхэд (графопроектор)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r>
              <w:rPr>
                <w:sz w:val="22"/>
              </w:rPr>
              <w:t>Диапроектор и мультимедиапроектор могут входить в материально-техническое обеспечение образовательного учреждения.</w:t>
            </w:r>
          </w:p>
        </w:tc>
      </w:tr>
      <w:tr w:rsidR="00BC6AE8" w:rsidTr="00C03582">
        <w:trPr>
          <w:cantSplit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5.11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Мультимедиапроектор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/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5.12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Экран</w:t>
            </w:r>
            <w:r>
              <w:rPr>
                <w:sz w:val="22"/>
              </w:rPr>
              <w:t xml:space="preserve"> (на штативе или навесной)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>Минимальные размеры 1,25Х1,25 м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5.13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r>
              <w:rPr>
                <w:sz w:val="22"/>
              </w:rPr>
              <w:t>Средства телекоммуникации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70%</w:t>
            </w:r>
          </w:p>
        </w:tc>
        <w:tc>
          <w:tcPr>
            <w:tcW w:w="2880" w:type="dxa"/>
          </w:tcPr>
          <w:p w:rsidR="00BC6AE8" w:rsidRDefault="00BC6AE8" w:rsidP="00C03582">
            <w:r>
              <w:rPr>
                <w:sz w:val="22"/>
              </w:rPr>
              <w:t>Включают: электронная почта, локальная школьная сеть, выход в Интернет, создаются в рамках материально-технического обеспечения всего образовательного учреждения при наличии необходимых финансовых и технических условий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>6.</w:t>
            </w: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jc w:val="both"/>
              <w:rPr>
                <w:b/>
                <w:caps/>
              </w:rPr>
            </w:pPr>
            <w:r>
              <w:rPr>
                <w:b/>
                <w:caps/>
                <w:color w:val="000000"/>
                <w:sz w:val="22"/>
              </w:rPr>
              <w:t xml:space="preserve">Учебно-практическое и учебно-лабораторное оборудование 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Аудиторная доска с магнитной поверхностью и набором приспособлений для крепления таблиц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Штатив для карт и таблиц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6.3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  <w:rPr>
                <w:highlight w:val="lightGray"/>
              </w:rPr>
            </w:pPr>
            <w:r>
              <w:rPr>
                <w:sz w:val="22"/>
              </w:rPr>
              <w:t>Укладки для аудиовизуальных средств (слайдов, кассет и др.)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75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6.6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Войсковой прибор химической разведки (ВПХР)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57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6.7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Бытовой дозиметр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6.8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Компас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6..9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Визирная линейка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6.10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Транспортир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72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Бинт марлевый 10х15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326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Вата гигроскопическая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нестерильная (пачка по 50 г.)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51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6.13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Вата компрессная (пачка по 50 г.)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71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6.14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Воронка стеклянная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72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6.15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Грелка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70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6.16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Жгут кровоостанавливающий резиновый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6.17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Индивидуальный перевязочный пакет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6.18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Косынка перевязочная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92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6.19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Клеенка компрессорная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0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6.19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Клеенка подкладочная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/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70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6.20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Ножницы для перевязочного материала (прямые)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/>
        </w:tc>
        <w:tc>
          <w:tcPr>
            <w:tcW w:w="948" w:type="dxa"/>
            <w:gridSpan w:val="2"/>
          </w:tcPr>
          <w:p w:rsidR="00BC6AE8" w:rsidRDefault="00BC6AE8" w:rsidP="00C03582">
            <w: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40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Повязка малая стерильная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/>
        </w:tc>
        <w:tc>
          <w:tcPr>
            <w:tcW w:w="948" w:type="dxa"/>
            <w:gridSpan w:val="2"/>
          </w:tcPr>
          <w:p w:rsidR="00BC6AE8" w:rsidRDefault="00BC6AE8" w:rsidP="00C03582">
            <w: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03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6.22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  <w:r>
              <w:rPr>
                <w:sz w:val="22"/>
              </w:rPr>
              <w:t>6.23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  <w:r>
              <w:rPr>
                <w:sz w:val="22"/>
              </w:rPr>
              <w:t>6.24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 Повязка большая 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стерильная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Шприц-тюбик  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одноразового пользования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Шинный материал 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(плотные куски картона, рейки  т.п.) длиной от 0,7 до 1,.5 м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</w:pPr>
          </w:p>
        </w:tc>
        <w:tc>
          <w:tcPr>
            <w:tcW w:w="948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  <w:p w:rsidR="00BC6AE8" w:rsidRDefault="00BC6AE8" w:rsidP="00C03582">
            <w:pPr>
              <w:jc w:val="center"/>
              <w:rPr>
                <w:b/>
              </w:rPr>
            </w:pPr>
          </w:p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6.25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Противогаз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6.26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Общезащитный  комплект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6.26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Респиратор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6.27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Аптечка индивидуальная (АИ-2)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  <w:vMerge w:val="restart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15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6.27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Противохимический пакет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292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6.28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Носилки санитарные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  <w:p w:rsidR="00BC6AE8" w:rsidRDefault="00BC6AE8" w:rsidP="00C03582">
            <w:pPr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524"/>
        </w:trPr>
        <w:tc>
          <w:tcPr>
            <w:tcW w:w="648" w:type="dxa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6.29</w:t>
            </w: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 xml:space="preserve">Противопыльные 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тканевые маски</w:t>
            </w: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47" w:type="dxa"/>
            <w:gridSpan w:val="3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343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6.30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Ватно-марлевая повязка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ПКД</w:t>
            </w:r>
          </w:p>
        </w:tc>
        <w:tc>
          <w:tcPr>
            <w:tcW w:w="2880" w:type="dxa"/>
            <w:vMerge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</w:trPr>
        <w:tc>
          <w:tcPr>
            <w:tcW w:w="9126" w:type="dxa"/>
            <w:gridSpan w:val="11"/>
          </w:tcPr>
          <w:p w:rsidR="00BC6AE8" w:rsidRDefault="00BC6AE8" w:rsidP="00C03582">
            <w:pPr>
              <w:jc w:val="both"/>
            </w:pPr>
            <w:r>
              <w:rPr>
                <w:b/>
                <w:bCs/>
                <w:sz w:val="22"/>
              </w:rPr>
              <w:t>7.</w:t>
            </w:r>
            <w:r>
              <w:rPr>
                <w:sz w:val="22"/>
              </w:rPr>
              <w:t xml:space="preserve">       </w:t>
            </w:r>
            <w:r>
              <w:rPr>
                <w:b/>
                <w:caps/>
                <w:sz w:val="22"/>
              </w:rPr>
              <w:t>Модели</w:t>
            </w:r>
          </w:p>
        </w:tc>
      </w:tr>
      <w:tr w:rsidR="00BC6AE8" w:rsidTr="00C03582">
        <w:trPr>
          <w:trHeight w:val="565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7.1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Макет простейшего укрытия в разрезе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trHeight w:val="189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lastRenderedPageBreak/>
              <w:t>7.2</w:t>
            </w:r>
          </w:p>
          <w:p w:rsidR="00BC6AE8" w:rsidRDefault="00BC6AE8" w:rsidP="00C03582">
            <w:pPr>
              <w:jc w:val="both"/>
            </w:pP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</w:rPr>
              <w:t>АК-74, учебный</w:t>
            </w: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trHeight w:val="189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Тренажер для оказания первой помощи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  <w:rPr>
                <w:b/>
              </w:rPr>
            </w:pP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jc w:val="both"/>
              <w:rPr>
                <w:b/>
                <w:caps/>
              </w:rPr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8. </w:t>
            </w:r>
          </w:p>
        </w:tc>
        <w:tc>
          <w:tcPr>
            <w:tcW w:w="8478" w:type="dxa"/>
            <w:gridSpan w:val="10"/>
          </w:tcPr>
          <w:p w:rsidR="00BC6AE8" w:rsidRDefault="00BC6AE8" w:rsidP="00C03582">
            <w:pPr>
              <w:jc w:val="both"/>
              <w:rPr>
                <w:b/>
                <w:caps/>
              </w:rPr>
            </w:pPr>
            <w:r>
              <w:rPr>
                <w:b/>
                <w:caps/>
                <w:sz w:val="22"/>
              </w:rPr>
              <w:t>Специализированная учебная мебель</w:t>
            </w: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8.1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Компьютерный стол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8.2</w:t>
            </w: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  <w:rPr>
                <w:highlight w:val="lightGray"/>
              </w:rPr>
            </w:pPr>
            <w:r>
              <w:rPr>
                <w:sz w:val="22"/>
              </w:rPr>
              <w:t>Шкаф (ящик) для хранения карт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  <w:tr w:rsidR="00BC6AE8" w:rsidTr="00C03582">
        <w:trPr>
          <w:cantSplit/>
          <w:trHeight w:val="514"/>
        </w:trPr>
        <w:tc>
          <w:tcPr>
            <w:tcW w:w="648" w:type="dxa"/>
          </w:tcPr>
          <w:p w:rsidR="00BC6AE8" w:rsidRDefault="00BC6AE8" w:rsidP="00C03582">
            <w:pPr>
              <w:jc w:val="both"/>
            </w:pPr>
            <w:r>
              <w:rPr>
                <w:sz w:val="22"/>
              </w:rPr>
              <w:t>8.3</w:t>
            </w:r>
          </w:p>
          <w:p w:rsidR="00BC6AE8" w:rsidRDefault="00BC6AE8" w:rsidP="00C03582">
            <w:pPr>
              <w:jc w:val="both"/>
            </w:pPr>
          </w:p>
        </w:tc>
        <w:tc>
          <w:tcPr>
            <w:tcW w:w="2756" w:type="dxa"/>
            <w:gridSpan w:val="2"/>
          </w:tcPr>
          <w:p w:rsidR="00BC6AE8" w:rsidRDefault="00BC6AE8" w:rsidP="00C03582">
            <w:pPr>
              <w:shd w:val="clear" w:color="auto" w:fill="FFFFFF"/>
              <w:autoSpaceDE w:val="0"/>
              <w:autoSpaceDN w:val="0"/>
              <w:adjustRightInd w:val="0"/>
              <w:rPr>
                <w:highlight w:val="lightGray"/>
              </w:rPr>
            </w:pPr>
            <w:r>
              <w:rPr>
                <w:sz w:val="22"/>
              </w:rPr>
              <w:t>Ящики для хранения таблиц</w:t>
            </w:r>
          </w:p>
        </w:tc>
        <w:tc>
          <w:tcPr>
            <w:tcW w:w="947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7" w:type="dxa"/>
            <w:gridSpan w:val="3"/>
          </w:tcPr>
          <w:p w:rsidR="00BC6AE8" w:rsidRDefault="00BC6AE8" w:rsidP="00C03582">
            <w:pPr>
              <w:jc w:val="center"/>
              <w:rPr>
                <w:b/>
              </w:rPr>
            </w:pPr>
          </w:p>
        </w:tc>
        <w:tc>
          <w:tcPr>
            <w:tcW w:w="948" w:type="dxa"/>
            <w:gridSpan w:val="2"/>
          </w:tcPr>
          <w:p w:rsidR="00BC6AE8" w:rsidRDefault="00BC6AE8" w:rsidP="00C0358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2880" w:type="dxa"/>
          </w:tcPr>
          <w:p w:rsidR="00BC6AE8" w:rsidRDefault="00BC6AE8" w:rsidP="00C03582">
            <w:pPr>
              <w:jc w:val="both"/>
            </w:pPr>
          </w:p>
        </w:tc>
      </w:tr>
    </w:tbl>
    <w:p w:rsidR="00BC6AE8" w:rsidRDefault="00BC6AE8" w:rsidP="00A1744B"/>
    <w:p w:rsidR="00BC6AE8" w:rsidRDefault="00BC6AE8" w:rsidP="00A1744B"/>
    <w:p w:rsidR="00BC6AE8" w:rsidRDefault="00BC6AE8" w:rsidP="00A1744B"/>
    <w:p w:rsidR="00BC6AE8" w:rsidRDefault="00BC6AE8" w:rsidP="00A1744B"/>
    <w:p w:rsidR="00BC6AE8" w:rsidRDefault="00BC6AE8" w:rsidP="00A1744B"/>
    <w:p w:rsidR="00BC6AE8" w:rsidRDefault="00BC6AE8" w:rsidP="00A1744B"/>
    <w:p w:rsidR="00BC6AE8" w:rsidRDefault="00BC6AE8" w:rsidP="00A1744B"/>
    <w:p w:rsidR="00BC6AE8" w:rsidRDefault="00BC6AE8" w:rsidP="00A1744B"/>
    <w:p w:rsidR="00BC6AE8" w:rsidRDefault="00BC6AE8" w:rsidP="00A1744B"/>
    <w:p w:rsidR="00BC6AE8" w:rsidRDefault="00BC6AE8" w:rsidP="00A1744B">
      <w:r>
        <w:t>Преподаватель-организатор по ОБЖ                              Хикматов М.К.</w:t>
      </w:r>
    </w:p>
    <w:sectPr w:rsidR="00BC6AE8" w:rsidSect="00663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D02" w:rsidRDefault="007A3D02" w:rsidP="007A5D79">
      <w:r>
        <w:separator/>
      </w:r>
    </w:p>
  </w:endnote>
  <w:endnote w:type="continuationSeparator" w:id="1">
    <w:p w:rsidR="007A3D02" w:rsidRDefault="007A3D02" w:rsidP="007A5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D02" w:rsidRDefault="007A3D02" w:rsidP="007A5D79">
      <w:r>
        <w:separator/>
      </w:r>
    </w:p>
  </w:footnote>
  <w:footnote w:type="continuationSeparator" w:id="1">
    <w:p w:rsidR="007A3D02" w:rsidRDefault="007A3D02" w:rsidP="007A5D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D79"/>
    <w:rsid w:val="000457EE"/>
    <w:rsid w:val="00072A96"/>
    <w:rsid w:val="000B663A"/>
    <w:rsid w:val="00160A2E"/>
    <w:rsid w:val="001665DD"/>
    <w:rsid w:val="0018107D"/>
    <w:rsid w:val="0026445D"/>
    <w:rsid w:val="003352EF"/>
    <w:rsid w:val="00663A74"/>
    <w:rsid w:val="006A2F61"/>
    <w:rsid w:val="007A3D02"/>
    <w:rsid w:val="007A5D79"/>
    <w:rsid w:val="00A1744B"/>
    <w:rsid w:val="00B51E8F"/>
    <w:rsid w:val="00B662BD"/>
    <w:rsid w:val="00BC6AE8"/>
    <w:rsid w:val="00C225E2"/>
    <w:rsid w:val="00CE4F7E"/>
    <w:rsid w:val="00D6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5D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5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A5D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A5D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ильмас</cp:lastModifiedBy>
  <cp:revision>4</cp:revision>
  <cp:lastPrinted>2015-06-29T11:54:00Z</cp:lastPrinted>
  <dcterms:created xsi:type="dcterms:W3CDTF">2015-06-21T20:20:00Z</dcterms:created>
  <dcterms:modified xsi:type="dcterms:W3CDTF">2015-06-29T11:54:00Z</dcterms:modified>
</cp:coreProperties>
</file>